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3E" w:rsidRDefault="00DA293E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DA293E" w:rsidRDefault="00DA293E">
      <w:pPr>
        <w:spacing w:line="240" w:lineRule="exact"/>
        <w:jc w:val="center"/>
        <w:rPr>
          <w:rFonts w:ascii="宋体"/>
          <w:b/>
          <w:bCs/>
          <w:sz w:val="32"/>
          <w:szCs w:val="32"/>
        </w:rPr>
      </w:pPr>
    </w:p>
    <w:p w:rsidR="00DA293E" w:rsidRDefault="00DA293E">
      <w:pPr>
        <w:jc w:val="center"/>
      </w:pPr>
    </w:p>
    <w:p w:rsidR="00DA293E" w:rsidRDefault="00DA29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6.4pt;height:112.8pt;visibility:visible">
            <v:imagedata r:id="rId5" o:title=""/>
          </v:shape>
        </w:pict>
      </w:r>
    </w:p>
    <w:p w:rsidR="00DA293E" w:rsidRDefault="00DA293E"/>
    <w:p w:rsidR="00DA293E" w:rsidRDefault="00DA293E"/>
    <w:p w:rsidR="00DA293E" w:rsidRDefault="00DA293E"/>
    <w:p w:rsidR="00DA293E" w:rsidRDefault="00DA293E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>
        <w:rPr>
          <w:rFonts w:ascii="华康简标题宋" w:eastAsia="华康简标题宋" w:hAnsi="小标宋" w:cs="华康简标题宋" w:hint="eastAsia"/>
          <w:sz w:val="44"/>
          <w:szCs w:val="44"/>
        </w:rPr>
        <w:t>第二届“黑龙江省优秀中青年法学家”</w:t>
      </w:r>
    </w:p>
    <w:p w:rsidR="00DA293E" w:rsidRDefault="00DA293E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>
        <w:rPr>
          <w:rFonts w:ascii="华康简标题宋" w:eastAsia="华康简标题宋" w:hAnsi="小标宋" w:cs="华康简标题宋" w:hint="eastAsia"/>
          <w:sz w:val="44"/>
          <w:szCs w:val="44"/>
        </w:rPr>
        <w:t>推荐表</w:t>
      </w:r>
    </w:p>
    <w:p w:rsidR="00DA293E" w:rsidRDefault="00DA293E"/>
    <w:p w:rsidR="00DA293E" w:rsidRDefault="00DA293E"/>
    <w:p w:rsidR="00DA293E" w:rsidRDefault="00DA293E"/>
    <w:p w:rsidR="00DA293E" w:rsidRDefault="00DA293E"/>
    <w:p w:rsidR="00DA293E" w:rsidRDefault="00DA293E"/>
    <w:p w:rsidR="00DA293E" w:rsidRDefault="00DA293E"/>
    <w:p w:rsidR="00DA293E" w:rsidRDefault="00DA293E">
      <w:pPr>
        <w:snapToGrid w:val="0"/>
        <w:rPr>
          <w:sz w:val="28"/>
          <w:szCs w:val="28"/>
        </w:rPr>
      </w:pPr>
    </w:p>
    <w:p w:rsidR="00DA293E" w:rsidRDefault="00DA293E">
      <w:pPr>
        <w:snapToGrid w:val="0"/>
        <w:rPr>
          <w:sz w:val="28"/>
          <w:szCs w:val="28"/>
        </w:rPr>
      </w:pPr>
    </w:p>
    <w:p w:rsidR="00DA293E" w:rsidRDefault="00DA293E">
      <w:pPr>
        <w:snapToGrid w:val="0"/>
        <w:rPr>
          <w:sz w:val="28"/>
          <w:szCs w:val="28"/>
        </w:rPr>
      </w:pPr>
    </w:p>
    <w:p w:rsidR="00DA293E" w:rsidRDefault="00DA293E" w:rsidP="00982AA3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姓</w:t>
      </w: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丁元明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          </w:t>
      </w:r>
    </w:p>
    <w:p w:rsidR="00DA293E" w:rsidRDefault="00DA293E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DA293E" w:rsidRDefault="00DA293E" w:rsidP="00982AA3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工作单位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七台河市中级人民法院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           </w:t>
      </w:r>
    </w:p>
    <w:p w:rsidR="00DA293E" w:rsidRDefault="00DA293E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DA293E" w:rsidRDefault="00DA293E" w:rsidP="00982AA3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推荐单位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七台河市法学会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  </w:t>
      </w:r>
    </w:p>
    <w:p w:rsidR="00DA293E" w:rsidRDefault="00DA293E">
      <w:pPr>
        <w:snapToGrid w:val="0"/>
        <w:rPr>
          <w:rFonts w:ascii="黑体" w:eastAsia="黑体" w:hAnsi="黑体"/>
          <w:u w:val="single"/>
        </w:rPr>
      </w:pPr>
    </w:p>
    <w:p w:rsidR="00DA293E" w:rsidRDefault="00DA293E">
      <w:pPr>
        <w:snapToGrid w:val="0"/>
        <w:rPr>
          <w:rFonts w:eastAsia="仿宋_GB2312"/>
          <w:b/>
          <w:bCs/>
          <w:u w:val="single"/>
        </w:rPr>
      </w:pPr>
    </w:p>
    <w:p w:rsidR="00DA293E" w:rsidRDefault="00DA293E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DA293E" w:rsidRDefault="00DA293E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DA293E" w:rsidRDefault="00DA293E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DA293E" w:rsidRDefault="00DA293E">
      <w:pPr>
        <w:snapToGrid w:val="0"/>
        <w:spacing w:line="120" w:lineRule="exact"/>
        <w:rPr>
          <w:rFonts w:eastAsia="仿宋_GB2312"/>
          <w:b/>
          <w:bCs/>
          <w:u w:val="single"/>
        </w:rPr>
      </w:pPr>
    </w:p>
    <w:p w:rsidR="00DA293E" w:rsidRDefault="00DA293E">
      <w:pPr>
        <w:snapToGrid w:val="0"/>
        <w:rPr>
          <w:rFonts w:eastAsia="仿宋_GB2312"/>
          <w:b/>
          <w:bCs/>
          <w:u w:val="single"/>
        </w:rPr>
      </w:pPr>
    </w:p>
    <w:p w:rsidR="00DA293E" w:rsidRDefault="00DA293E">
      <w:pPr>
        <w:jc w:val="center"/>
        <w:rPr>
          <w:rFonts w:ascii="楷体_GB2312" w:eastAsia="楷体_GB2312" w:hAnsi="Arial Narrow"/>
          <w:sz w:val="32"/>
          <w:szCs w:val="32"/>
        </w:rPr>
      </w:pPr>
      <w:r>
        <w:rPr>
          <w:rFonts w:ascii="楷体_GB2312" w:eastAsia="楷体_GB2312" w:hAnsi="Arial Narrow" w:cs="楷体_GB2312" w:hint="eastAsia"/>
          <w:sz w:val="32"/>
          <w:szCs w:val="32"/>
        </w:rPr>
        <w:t>黑龙江省法学会</w:t>
      </w:r>
    </w:p>
    <w:p w:rsidR="00DA293E" w:rsidRDefault="00DA293E">
      <w:pPr>
        <w:snapToGrid w:val="0"/>
        <w:jc w:val="center"/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hAnsi="Arial Narrow" w:cs="楷体_GB2312"/>
          <w:sz w:val="32"/>
          <w:szCs w:val="32"/>
        </w:rPr>
        <w:t>2020</w:t>
      </w:r>
      <w:r>
        <w:rPr>
          <w:rFonts w:ascii="楷体_GB2312" w:eastAsia="楷体_GB2312" w:hAnsi="Arial Narrow" w:cs="楷体_GB2312" w:hint="eastAsia"/>
          <w:sz w:val="32"/>
          <w:szCs w:val="32"/>
        </w:rPr>
        <w:t>年</w:t>
      </w:r>
      <w:r>
        <w:rPr>
          <w:rFonts w:ascii="楷体_GB2312" w:eastAsia="楷体_GB2312" w:hAnsi="Arial Narrow" w:cs="楷体_GB2312"/>
          <w:sz w:val="32"/>
          <w:szCs w:val="32"/>
        </w:rPr>
        <w:t>11</w:t>
      </w:r>
      <w:r>
        <w:rPr>
          <w:rFonts w:ascii="楷体_GB2312" w:eastAsia="楷体_GB2312" w:hAnsi="Arial Narrow" w:cs="楷体_GB2312" w:hint="eastAsia"/>
          <w:sz w:val="32"/>
          <w:szCs w:val="32"/>
        </w:rPr>
        <w:t>月印制</w:t>
      </w:r>
    </w:p>
    <w:p w:rsidR="00DA293E" w:rsidRDefault="00DA293E" w:rsidP="00982AA3">
      <w:pPr>
        <w:snapToGrid w:val="0"/>
        <w:spacing w:line="600" w:lineRule="exact"/>
        <w:ind w:firstLineChars="200" w:firstLine="31680"/>
        <w:rPr>
          <w:rFonts w:eastAsia="仿宋_GB2312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68"/>
        <w:gridCol w:w="2094"/>
        <w:gridCol w:w="1270"/>
        <w:gridCol w:w="2007"/>
        <w:gridCol w:w="1975"/>
      </w:tblGrid>
      <w:tr w:rsidR="00DA293E">
        <w:trPr>
          <w:cantSplit/>
          <w:trHeight w:val="804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br w:type="page"/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表一：推荐候选人情况</w:t>
            </w:r>
          </w:p>
        </w:tc>
      </w:tr>
      <w:tr w:rsidR="00DA293E">
        <w:trPr>
          <w:cantSplit/>
          <w:trHeight w:val="448"/>
          <w:jc w:val="center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丁元明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75" w:type="dxa"/>
            <w:vMerge w:val="restart"/>
            <w:tcBorders>
              <w:left w:val="single" w:sz="4" w:space="0" w:color="000000"/>
            </w:tcBorders>
            <w:vAlign w:val="center"/>
          </w:tcPr>
          <w:p w:rsidR="00DA293E" w:rsidRDefault="00DA293E" w:rsidP="00C95238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E7F62">
              <w:rPr>
                <w:rFonts w:ascii="宋体"/>
                <w:noProof/>
                <w:color w:val="000000"/>
                <w:sz w:val="24"/>
                <w:szCs w:val="24"/>
              </w:rPr>
              <w:pict>
                <v:shape id="图片 2" o:spid="_x0000_i1026" type="#_x0000_t75" alt="IMG_0133" style="width:75.6pt;height:113.4pt;visibility:visible">
                  <v:imagedata r:id="rId6" o:title=""/>
                </v:shape>
              </w:pict>
            </w:r>
          </w:p>
        </w:tc>
      </w:tr>
      <w:tr w:rsidR="00DA293E">
        <w:trPr>
          <w:cantSplit/>
          <w:trHeight w:val="467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1967.10.17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val="465"/>
          <w:jc w:val="center"/>
        </w:trPr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val="442"/>
          <w:jc w:val="center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二级高级法官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val="443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37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黑龙江省七台河市中级人民法院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val="443"/>
          <w:jc w:val="center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93E" w:rsidRDefault="00DA293E">
            <w:pPr>
              <w:snapToGrid w:val="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黑龙江省七台河市桃山区学府街中级人民法院</w:t>
            </w:r>
          </w:p>
        </w:tc>
      </w:tr>
      <w:tr w:rsidR="00DA293E">
        <w:trPr>
          <w:cantSplit/>
          <w:trHeight w:val="7206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个人简历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1986——1990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黑龙江大学法律系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; 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1990——1995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七台河市人民检察院书记员、助理检察员，研究室副主任；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1995——2000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中共七台河市委办公室常委秘书；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2000——2009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中共勃利县委常委、副县长、宣传部长、纪委书记；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2009——2013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七台河市人民检察院副检察长；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现在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七台河市中级人民法院党组成员、副院长。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hRule="exact" w:val="6521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DA293E" w:rsidRDefault="00DA293E" w:rsidP="00C95238">
            <w:pPr>
              <w:tabs>
                <w:tab w:val="left" w:pos="4185"/>
              </w:tabs>
              <w:snapToGrid w:val="0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重要学术成果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一、专著</w:t>
            </w:r>
            <w:r>
              <w:rPr>
                <w:rFonts w:ascii="仿宋" w:eastAsia="仿宋" w:hAnsi="仿宋" w:cs="仿宋"/>
                <w:color w:val="00000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</w:rPr>
              <w:t>《法律的视野</w:t>
            </w:r>
            <w:r>
              <w:rPr>
                <w:rFonts w:ascii="仿宋" w:eastAsia="仿宋" w:hAnsi="仿宋" w:cs="仿宋"/>
                <w:color w:val="000000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</w:rPr>
              <w:t>丁元明法学论文集》北京大学出版社</w:t>
            </w:r>
            <w:r>
              <w:rPr>
                <w:rFonts w:ascii="仿宋" w:eastAsia="仿宋" w:hAnsi="仿宋" w:cs="仿宋"/>
                <w:color w:val="000000"/>
              </w:rPr>
              <w:t>2003</w:t>
            </w:r>
            <w:r>
              <w:rPr>
                <w:rFonts w:ascii="仿宋" w:eastAsia="仿宋" w:hAnsi="仿宋" w:cs="仿宋" w:hint="eastAsia"/>
                <w:color w:val="000000"/>
              </w:rPr>
              <w:t>年。专著</w:t>
            </w:r>
            <w:r>
              <w:rPr>
                <w:rFonts w:ascii="仿宋" w:eastAsia="仿宋" w:hAnsi="仿宋" w:cs="仿宋"/>
                <w:color w:val="00000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</w:rPr>
              <w:t>《七台河市东北抗联遗存保护利用条例》及释义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见微信：七台河市人大</w:t>
            </w:r>
            <w:r>
              <w:rPr>
                <w:rFonts w:ascii="仿宋" w:eastAsia="仿宋" w:hAnsi="仿宋" w:cs="仿宋"/>
                <w:color w:val="000000"/>
              </w:rPr>
              <w:t>20190701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二、论文。</w:t>
            </w:r>
            <w:r>
              <w:rPr>
                <w:rFonts w:ascii="仿宋" w:eastAsia="仿宋" w:hAnsi="仿宋" w:cs="仿宋"/>
                <w:color w:val="00000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1992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</w:rPr>
              <w:t>月《在大义灭亲的背后》《民主与法制》杂志</w:t>
            </w:r>
            <w:r>
              <w:rPr>
                <w:rFonts w:ascii="仿宋" w:eastAsia="仿宋" w:hAnsi="仿宋" w:cs="仿宋"/>
                <w:color w:val="000000"/>
              </w:rPr>
              <w:t>1000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</w:rPr>
              <w:t>、第二作者</w:t>
            </w:r>
            <w:r>
              <w:rPr>
                <w:rFonts w:ascii="仿宋" w:eastAsia="仿宋" w:hAnsi="仿宋" w:cs="仿宋"/>
                <w:color w:val="000000"/>
              </w:rPr>
              <w:t>2009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/>
                <w:color w:val="000000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</w:rPr>
              <w:t>期《检务督察模式探索》《人民检察》杂志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1993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/>
                <w:color w:val="000000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</w:rPr>
              <w:t>日《实践向立法挑战》《黑龙江日报》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2012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</w:rPr>
              <w:t>月《煤矿重大责任事故犯罪研究》《中国犯罪学会论文集》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1991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</w:rPr>
              <w:t>月《对补充规定第十一条一款罪名的再理解》《检察探索》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2010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</w:rPr>
              <w:t>月《完善我国死刑制度的建议》中国检察出版社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</w:rPr>
              <w:t>、第一作者</w:t>
            </w:r>
            <w:r>
              <w:rPr>
                <w:rFonts w:ascii="仿宋" w:eastAsia="仿宋" w:hAnsi="仿宋" w:cs="仿宋"/>
                <w:color w:val="000000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</w:rPr>
              <w:t>年</w:t>
            </w:r>
            <w:r>
              <w:rPr>
                <w:rFonts w:ascii="仿宋" w:eastAsia="仿宋" w:hAnsi="仿宋" w:cs="仿宋"/>
                <w:color w:val="00000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</w:rPr>
              <w:t>月《东北地区营商环境中存在的问题成因及对策</w:t>
            </w:r>
            <w:r>
              <w:rPr>
                <w:rFonts w:ascii="仿宋" w:eastAsia="仿宋" w:hAnsi="仿宋" w:cs="仿宋"/>
                <w:color w:val="000000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</w:rPr>
              <w:t>以“东北亚丝绸之路”经济带为背景》“东北法治论坛”</w:t>
            </w:r>
            <w:r>
              <w:rPr>
                <w:rFonts w:ascii="仿宋" w:eastAsia="仿宋" w:hAnsi="仿宋" w:cs="仿宋"/>
                <w:color w:val="000000"/>
              </w:rPr>
              <w:t>3000</w:t>
            </w:r>
            <w:r>
              <w:rPr>
                <w:rFonts w:ascii="仿宋" w:eastAsia="仿宋" w:hAnsi="仿宋" w:cs="仿宋" w:hint="eastAsia"/>
                <w:color w:val="000000"/>
              </w:rPr>
              <w:t>字。</w:t>
            </w:r>
            <w:r>
              <w:rPr>
                <w:rFonts w:ascii="仿宋" w:eastAsia="仿宋" w:hAnsi="仿宋" w:cs="仿宋"/>
                <w:color w:val="000000"/>
              </w:rPr>
              <w:t xml:space="preserve">        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三、其它。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、勃利密塞、乌斯浑河国家森林公园、勃利民国风情街区、东北抗联第二路军总部、京石泉抗联遗址、国家级抗联片区等认定。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  <w:kern w:val="0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</w:rPr>
              <w:t>年</w:t>
            </w:r>
            <w:r>
              <w:rPr>
                <w:rFonts w:ascii="仿宋" w:eastAsia="仿宋" w:hAnsi="仿宋" w:cs="仿宋"/>
                <w:kern w:val="0"/>
              </w:rPr>
              <w:t>8</w:t>
            </w:r>
            <w:r>
              <w:rPr>
                <w:rFonts w:ascii="仿宋" w:eastAsia="仿宋" w:hAnsi="仿宋" w:cs="仿宋" w:hint="eastAsia"/>
                <w:kern w:val="0"/>
              </w:rPr>
              <w:t>月第十三届东北法治论坛论文《东北地区营商环境中存在的问题成因及对策</w:t>
            </w:r>
            <w:r>
              <w:rPr>
                <w:rFonts w:ascii="仿宋" w:eastAsia="仿宋" w:hAnsi="仿宋" w:cs="仿宋"/>
                <w:kern w:val="0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</w:rPr>
              <w:t>以“东北亚丝绸之路”经济带为背景》</w:t>
            </w:r>
            <w:r>
              <w:rPr>
                <w:rFonts w:ascii="仿宋" w:eastAsia="仿宋" w:hAnsi="仿宋" w:cs="仿宋"/>
                <w:kern w:val="0"/>
              </w:rPr>
              <w:t>5000</w:t>
            </w:r>
            <w:r>
              <w:rPr>
                <w:rFonts w:ascii="仿宋" w:eastAsia="仿宋" w:hAnsi="仿宋" w:cs="仿宋" w:hint="eastAsia"/>
                <w:kern w:val="0"/>
              </w:rPr>
              <w:t>字。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3</w:t>
            </w:r>
            <w:r>
              <w:rPr>
                <w:rFonts w:ascii="仿宋" w:eastAsia="仿宋" w:hAnsi="仿宋" w:cs="仿宋" w:hint="eastAsia"/>
                <w:kern w:val="0"/>
              </w:rPr>
              <w:t>、《丁元明：制定东北亚丝绸之路经济带规划推动东北全方位振兴》微信：黑龙江省法学会</w:t>
            </w:r>
            <w:r>
              <w:rPr>
                <w:rFonts w:ascii="仿宋" w:eastAsia="仿宋" w:hAnsi="仿宋" w:cs="仿宋"/>
                <w:kern w:val="0"/>
              </w:rPr>
              <w:t>6</w:t>
            </w:r>
            <w:r>
              <w:rPr>
                <w:rFonts w:ascii="仿宋" w:eastAsia="仿宋" w:hAnsi="仿宋" w:cs="仿宋" w:hint="eastAsia"/>
                <w:kern w:val="0"/>
              </w:rPr>
              <w:t>月</w:t>
            </w:r>
            <w:r>
              <w:rPr>
                <w:rFonts w:ascii="仿宋" w:eastAsia="仿宋" w:hAnsi="仿宋" w:cs="仿宋"/>
                <w:kern w:val="0"/>
              </w:rPr>
              <w:t>3</w:t>
            </w:r>
            <w:r>
              <w:rPr>
                <w:rFonts w:ascii="仿宋" w:eastAsia="仿宋" w:hAnsi="仿宋" w:cs="仿宋" w:hint="eastAsia"/>
                <w:kern w:val="0"/>
              </w:rPr>
              <w:t>日</w:t>
            </w:r>
          </w:p>
          <w:p w:rsidR="00DA293E" w:rsidRDefault="00DA293E" w:rsidP="00DA293E">
            <w:pPr>
              <w:ind w:firstLineChars="200" w:firstLine="31680"/>
              <w:rPr>
                <w:rFonts w:ascii="仿宋" w:eastAsia="仿宋" w:hAnsi="仿宋"/>
                <w:spacing w:val="8"/>
                <w:shd w:val="clear" w:color="auto" w:fill="FFFFFF"/>
              </w:rPr>
            </w:pPr>
            <w:r>
              <w:rPr>
                <w:rFonts w:ascii="仿宋" w:eastAsia="仿宋" w:hAnsi="仿宋" w:cs="仿宋"/>
                <w:kern w:val="0"/>
              </w:rPr>
              <w:t>4</w:t>
            </w:r>
            <w:r>
              <w:rPr>
                <w:rFonts w:ascii="仿宋" w:eastAsia="仿宋" w:hAnsi="仿宋" w:cs="仿宋" w:hint="eastAsia"/>
                <w:kern w:val="0"/>
              </w:rPr>
              <w:t>、贾君：《</w:t>
            </w:r>
            <w:r>
              <w:rPr>
                <w:rFonts w:ascii="仿宋" w:eastAsia="仿宋" w:hAnsi="仿宋" w:cs="仿宋" w:hint="eastAsia"/>
                <w:spacing w:val="8"/>
                <w:shd w:val="clear" w:color="auto" w:fill="FFFFFF"/>
              </w:rPr>
              <w:t>关于制定“东北亚丝绸之路经济带规划”推动东北全方位振兴的建议》</w:t>
            </w:r>
          </w:p>
          <w:p w:rsidR="00DA293E" w:rsidRDefault="00DA293E" w:rsidP="00DA293E">
            <w:pPr>
              <w:ind w:firstLineChars="200" w:firstLine="31680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5</w:t>
            </w:r>
            <w:r>
              <w:rPr>
                <w:rFonts w:ascii="仿宋" w:eastAsia="仿宋" w:hAnsi="仿宋" w:cs="仿宋" w:hint="eastAsia"/>
                <w:kern w:val="0"/>
              </w:rPr>
              <w:t>、焦云（全国人大代表）：《关于十四五国家加大反哺力度推动东北振兴的议案》</w:t>
            </w:r>
          </w:p>
          <w:p w:rsidR="00DA293E" w:rsidRDefault="00DA293E">
            <w:pPr>
              <w:jc w:val="center"/>
              <w:rPr>
                <w:rFonts w:ascii="方正小标宋简体" w:eastAsia="方正小标宋简体" w:hAnsi="方正小标宋简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93E">
        <w:trPr>
          <w:cantSplit/>
          <w:trHeight w:hRule="exact" w:val="6521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重要智库成果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一、建议建设中国肃慎博物馆，被七台河市政府采纳。</w:t>
            </w:r>
          </w:p>
          <w:p w:rsidR="00DA293E" w:rsidRDefault="00DA293E">
            <w:pPr>
              <w:numPr>
                <w:ilvl w:val="0"/>
                <w:numId w:val="1"/>
              </w:num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建议建设“东北亚丝绸之路经济带”，为两位全国人大代表起草提案，提交到全国人大。</w:t>
            </w:r>
          </w:p>
          <w:p w:rsidR="00DA293E" w:rsidRDefault="00DA293E">
            <w:pPr>
              <w:numPr>
                <w:ilvl w:val="0"/>
                <w:numId w:val="1"/>
              </w:num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建议并起草</w:t>
            </w:r>
            <w:r>
              <w:rPr>
                <w:rFonts w:ascii="仿宋" w:eastAsia="仿宋" w:hAnsi="仿宋" w:cs="仿宋" w:hint="eastAsia"/>
              </w:rPr>
              <w:t>《七台河东北抗联遗存保护利用条例》。</w:t>
            </w:r>
          </w:p>
          <w:p w:rsidR="00DA293E" w:rsidRDefault="00DA293E">
            <w:pPr>
              <w:numPr>
                <w:ilvl w:val="0"/>
                <w:numId w:val="1"/>
              </w:num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高度评价：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、省委书记、省人大主任张庆伟对抗联遗址遗迹保护工作非常重视。他出席省人大常委会并亲自投下赞成票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指出：“这是不忘初心，牢记使命的黑龙江担当。东北抗联站在抗日民族统一战线的角度定位是对的，东北抗联里虽然有英雄人物，更多的还是普普通通的战士，我们不能忘记他们，人民群众的支持是我们取得胜利的保证。”</w:t>
            </w:r>
            <w:r>
              <w:rPr>
                <w:rFonts w:ascii="仿宋" w:eastAsia="仿宋" w:hAnsi="仿宋" w:cs="仿宋"/>
              </w:rPr>
              <w:t>2019.6.28</w:t>
            </w:r>
          </w:p>
          <w:p w:rsidR="00DA293E" w:rsidRDefault="00DA293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、省委常委、宣传部长贾玉梅在全省抗联遗址遗迹保护会议上：“七台河做的确实好，该法律对于东北抗联的定位，非常有高度，非常有深度，令人刮目相看。”</w:t>
            </w:r>
            <w:r>
              <w:rPr>
                <w:rFonts w:ascii="仿宋" w:eastAsia="仿宋" w:hAnsi="仿宋" w:cs="仿宋"/>
              </w:rPr>
              <w:t>2019.7.1</w:t>
            </w:r>
          </w:p>
          <w:p w:rsidR="00DA293E" w:rsidRDefault="00DA293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、中央党史和文献研究院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石雷：“我们对历史上包括马占山和李杜等人要有一个科学和客观的分析。一切为中国民族解放作出贡献的人士，都是英雄。老丁，你做了一件功德无量的事，我们要好好学习和总结。”</w:t>
            </w:r>
            <w:r>
              <w:rPr>
                <w:rFonts w:ascii="仿宋" w:eastAsia="仿宋" w:hAnsi="仿宋" w:cs="仿宋"/>
              </w:rPr>
              <w:t>2019.6.29</w:t>
            </w:r>
          </w:p>
          <w:p w:rsidR="00DA293E" w:rsidRDefault="00DA293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、中国抗联研究中心主任李洪光：“条例写的太好了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十分专业。条例的出台，是党史研究的新高度。这是党史研究上一个标志性的里程碑。”</w:t>
            </w:r>
            <w:r>
              <w:rPr>
                <w:rFonts w:ascii="仿宋" w:eastAsia="仿宋" w:hAnsi="仿宋" w:cs="仿宋"/>
              </w:rPr>
              <w:t>2019.7.14</w:t>
            </w:r>
          </w:p>
          <w:p w:rsidR="00DA293E" w:rsidRDefault="00DA293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、中共七台河原市委书记马志勇：“丁元明，你是个仰望星空的人！”</w:t>
            </w:r>
            <w:r>
              <w:rPr>
                <w:rFonts w:ascii="仿宋" w:eastAsia="仿宋" w:hAnsi="仿宋" w:cs="仿宋"/>
              </w:rPr>
              <w:t>2017.11.15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FF"/>
              </w:rPr>
            </w:pPr>
            <w:r>
              <w:rPr>
                <w:rFonts w:ascii="仿宋" w:eastAsia="仿宋" w:hAnsi="仿宋" w:cs="仿宋"/>
              </w:rPr>
              <w:t>6</w:t>
            </w:r>
            <w:r>
              <w:rPr>
                <w:rFonts w:ascii="仿宋" w:eastAsia="仿宋" w:hAnsi="仿宋" w:cs="仿宋" w:hint="eastAsia"/>
              </w:rPr>
              <w:t>、七台河市人大常委会主任韩靖：“丁元明，你是最积极的推动者，功臣！”</w:t>
            </w:r>
            <w:r>
              <w:rPr>
                <w:rFonts w:ascii="仿宋" w:eastAsia="仿宋" w:hAnsi="仿宋" w:cs="仿宋"/>
              </w:rPr>
              <w:t xml:space="preserve">2019.7.25 </w:t>
            </w:r>
            <w:r>
              <w:rPr>
                <w:rFonts w:ascii="仿宋" w:eastAsia="仿宋" w:hAnsi="仿宋" w:cs="仿宋" w:hint="eastAsia"/>
              </w:rPr>
              <w:t>“七台河的历史长度，决定于你的研究深度，加油</w:t>
            </w:r>
            <w:r>
              <w:rPr>
                <w:rFonts w:ascii="仿宋" w:eastAsia="仿宋" w:hAnsi="仿宋" w:cs="仿宋"/>
              </w:rPr>
              <w:t>!</w:t>
            </w:r>
            <w:r>
              <w:rPr>
                <w:rFonts w:ascii="仿宋" w:eastAsia="仿宋" w:hAnsi="仿宋" w:cs="仿宋" w:hint="eastAsia"/>
              </w:rPr>
              <w:t>”</w:t>
            </w:r>
            <w:r>
              <w:rPr>
                <w:rFonts w:ascii="仿宋" w:eastAsia="仿宋" w:hAnsi="仿宋" w:cs="仿宋"/>
              </w:rPr>
              <w:t>2020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8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>15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11"/>
                <w:szCs w:val="11"/>
              </w:rPr>
            </w:pPr>
          </w:p>
        </w:tc>
      </w:tr>
      <w:tr w:rsidR="00DA293E">
        <w:trPr>
          <w:cantSplit/>
          <w:trHeight w:hRule="exact" w:val="4366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在法学教育方面的贡献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（如编写重点教材、主讲精品课程、在法学教育方面获得的重要荣誉表彰等。）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DA293E" w:rsidRDefault="00DA293E"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国家法官学院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教师</w:t>
            </w:r>
          </w:p>
          <w:p w:rsidR="00DA293E" w:rsidRDefault="00DA293E"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国家检察官学院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教师</w:t>
            </w:r>
          </w:p>
          <w:p w:rsidR="00DA293E" w:rsidRDefault="00DA293E"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北京大学黑龙江校友会特聘教师</w:t>
            </w:r>
          </w:p>
          <w:p w:rsidR="00DA293E" w:rsidRDefault="00DA293E"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中共七台河市委党校特聘研究员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精品课：《东北地区营商环境存在的问题成因及对策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以肃慎族系法律思想史为视角》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A293E">
        <w:trPr>
          <w:cantSplit/>
          <w:trHeight w:hRule="exact" w:val="4366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在法治宣传方面的贡献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（如担任法治宣讲活动主讲人、在媒体上发表法治宣传文章等。）</w:t>
            </w:r>
          </w:p>
          <w:p w:rsidR="00DA293E" w:rsidRDefault="00DA293E"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年在七台河电视台《民法典》讲堂，专题讲解民法典。</w:t>
            </w:r>
          </w:p>
          <w:p w:rsidR="00DA293E" w:rsidRDefault="00DA293E"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年在全市政法系统学习民法典讲坛，第一讲。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DA293E">
        <w:trPr>
          <w:cantSplit/>
          <w:trHeight w:hRule="exact" w:val="4366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在法治实践方面的贡献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（如在实务部门挂职、参与重大案件论证、仲裁等。）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黑龙江省审判业务专家。每年参与论证疑难案件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余件。</w:t>
            </w:r>
          </w:p>
          <w:p w:rsidR="00DA293E" w:rsidRDefault="00DA293E"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七台河市中级人民法院党组成员、副院长。每年办理复杂疑难案件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余件。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00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DA293E">
        <w:trPr>
          <w:cantSplit/>
          <w:trHeight w:hRule="exact" w:val="6521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获得奖项和表彰</w:t>
            </w:r>
          </w:p>
          <w:p w:rsidR="00DA293E" w:rsidRDefault="00DA293E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（请注明获得时间及等级）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月第十三届东北法治论坛论文《东北地区营商环境中存在的问题成因及对策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以“东北亚丝绸之路”经济带为背景》荣获三等奖</w:t>
            </w:r>
          </w:p>
          <w:p w:rsidR="00DA293E" w:rsidRDefault="00DA293E" w:rsidP="00DA293E">
            <w:pPr>
              <w:tabs>
                <w:tab w:val="left" w:pos="4185"/>
              </w:tabs>
              <w:snapToGrid w:val="0"/>
              <w:ind w:firstLineChars="200" w:firstLine="3168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二、论文《东北地区营商环境中存在的问题成因及对策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以“东北亚丝绸之路”经济带为背景》七台河社科联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年荣获一等奖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DA293E">
        <w:trPr>
          <w:cantSplit/>
          <w:trHeight w:hRule="exact" w:val="6521"/>
          <w:jc w:val="center"/>
        </w:trPr>
        <w:tc>
          <w:tcPr>
            <w:tcW w:w="9014" w:type="dxa"/>
            <w:gridSpan w:val="5"/>
            <w:tcBorders>
              <w:bottom w:val="single" w:sz="4" w:space="0" w:color="000000"/>
            </w:tcBorders>
            <w:vAlign w:val="center"/>
          </w:tcPr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学术职务及其他重要社会兼职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一、黑龙江省法学会法律史学研究会副会长。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二、黑龙江省法学会刑法学研究会副会长。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DA293E" w:rsidRDefault="00DA293E"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七台河市政协委员。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DA293E" w:rsidRDefault="00DA293E"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中共七台河市委法律顾问。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DA293E" w:rsidRDefault="00DA293E"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七台河市人大常委会立法咨询专家。</w:t>
            </w: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00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00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DA293E" w:rsidRDefault="00DA293E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</w:tbl>
    <w:p w:rsidR="00DA293E" w:rsidRDefault="00DA293E">
      <w:bookmarkStart w:id="0" w:name="_GoBack"/>
      <w:bookmarkEnd w:id="0"/>
    </w:p>
    <w:sectPr w:rsidR="00DA293E" w:rsidSect="00E14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BD84D7"/>
    <w:multiLevelType w:val="singleLevel"/>
    <w:tmpl w:val="ACBD84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88DB5A"/>
    <w:multiLevelType w:val="singleLevel"/>
    <w:tmpl w:val="D988DB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C98831"/>
    <w:multiLevelType w:val="singleLevel"/>
    <w:tmpl w:val="EDC988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ED8E4B0"/>
    <w:multiLevelType w:val="singleLevel"/>
    <w:tmpl w:val="4ED8E4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CE6F42"/>
    <w:rsid w:val="0028749D"/>
    <w:rsid w:val="00445843"/>
    <w:rsid w:val="00560475"/>
    <w:rsid w:val="009217C6"/>
    <w:rsid w:val="00982AA3"/>
    <w:rsid w:val="00AE7F62"/>
    <w:rsid w:val="00B25B75"/>
    <w:rsid w:val="00C95238"/>
    <w:rsid w:val="00DA293E"/>
    <w:rsid w:val="00E04A15"/>
    <w:rsid w:val="00E143AA"/>
    <w:rsid w:val="2A5A2BA9"/>
    <w:rsid w:val="7CC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A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</cp:lastModifiedBy>
  <cp:revision>3</cp:revision>
  <dcterms:created xsi:type="dcterms:W3CDTF">2020-12-22T08:32:00Z</dcterms:created>
  <dcterms:modified xsi:type="dcterms:W3CDTF">2021-01-30T10:21:00Z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